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3" w:rsidRDefault="009160F3" w:rsidP="009160F3">
      <w:pPr>
        <w:jc w:val="center"/>
      </w:pPr>
    </w:p>
    <w:p w:rsidR="00FE5EA7" w:rsidRDefault="00FE5EA7" w:rsidP="00486E27">
      <w:pPr>
        <w:jc w:val="right"/>
      </w:pPr>
    </w:p>
    <w:p w:rsidR="00486E27" w:rsidRDefault="00486E27" w:rsidP="009160F3">
      <w:pPr>
        <w:jc w:val="center"/>
      </w:pPr>
    </w:p>
    <w:tbl>
      <w:tblPr>
        <w:tblStyle w:val="TableGrid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621"/>
      </w:tblGrid>
      <w:tr w:rsidR="009F2541" w:rsidTr="009F2541">
        <w:tc>
          <w:tcPr>
            <w:tcW w:w="6487" w:type="dxa"/>
          </w:tcPr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Default="009F2541" w:rsidP="009F2541">
            <w:pPr>
              <w:jc w:val="center"/>
              <w:rPr>
                <w:b/>
              </w:rPr>
            </w:pPr>
          </w:p>
          <w:p w:rsidR="009F2541" w:rsidRPr="00486E27" w:rsidRDefault="009F2541" w:rsidP="009F2541">
            <w:pPr>
              <w:jc w:val="center"/>
              <w:rPr>
                <w:b/>
              </w:rPr>
            </w:pPr>
            <w:r>
              <w:rPr>
                <w:b/>
              </w:rPr>
              <w:t xml:space="preserve">GUIDANCE FOR MEMBERS </w:t>
            </w:r>
            <w:r w:rsidRPr="00486E27">
              <w:rPr>
                <w:b/>
              </w:rPr>
              <w:t>WHO ARE</w:t>
            </w:r>
            <w:r>
              <w:rPr>
                <w:b/>
              </w:rPr>
              <w:t xml:space="preserve"> </w:t>
            </w:r>
            <w:r w:rsidRPr="00486E27">
              <w:rPr>
                <w:b/>
              </w:rPr>
              <w:t xml:space="preserve">APPOINTED BY THE COUNCIL TO SERVE </w:t>
            </w:r>
            <w:r>
              <w:rPr>
                <w:b/>
              </w:rPr>
              <w:t>O</w:t>
            </w:r>
            <w:r w:rsidRPr="00486E27">
              <w:rPr>
                <w:b/>
              </w:rPr>
              <w:t>N OUTSIDE BODIES</w:t>
            </w:r>
          </w:p>
          <w:p w:rsidR="009F2541" w:rsidRDefault="009F2541" w:rsidP="009160F3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9F2541" w:rsidRDefault="009F2541" w:rsidP="009160F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143983" wp14:editId="73EF02CC">
                  <wp:extent cx="1239564" cy="1661160"/>
                  <wp:effectExtent l="0" t="0" r="0" b="0"/>
                  <wp:docPr id="1" name="Picture 1" descr="http://occweb/intranet/sites/default/files/documents/57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cweb/intranet/sites/default/files/documents/57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9D1" w:rsidRDefault="009179D1" w:rsidP="009160F3">
      <w:pPr>
        <w:jc w:val="center"/>
        <w:rPr>
          <w:b/>
        </w:rPr>
      </w:pPr>
    </w:p>
    <w:p w:rsidR="009F2541" w:rsidRDefault="009F2541" w:rsidP="009160F3"/>
    <w:p w:rsidR="009160F3" w:rsidRDefault="009160F3" w:rsidP="009160F3">
      <w:r>
        <w:t xml:space="preserve">1. </w:t>
      </w:r>
      <w:r w:rsidRPr="009160F3">
        <w:rPr>
          <w:u w:val="single"/>
        </w:rPr>
        <w:t>Introduction</w:t>
      </w:r>
    </w:p>
    <w:p w:rsidR="009160F3" w:rsidRDefault="009160F3" w:rsidP="009160F3"/>
    <w:p w:rsidR="009160F3" w:rsidRDefault="009160F3" w:rsidP="009160F3">
      <w:r>
        <w:t>This guidance has been produced to</w:t>
      </w:r>
      <w:r w:rsidR="000749F2">
        <w:t xml:space="preserve"> </w:t>
      </w:r>
      <w:r>
        <w:t>support Councillors who are appointed to serve on outside bodies by outlining</w:t>
      </w:r>
      <w:r w:rsidR="000749F2">
        <w:t xml:space="preserve"> </w:t>
      </w:r>
      <w:r>
        <w:t>their responsibilities and obligations in that role. The guidance does not</w:t>
      </w:r>
      <w:r w:rsidR="000749F2">
        <w:t xml:space="preserve"> </w:t>
      </w:r>
      <w:r>
        <w:t>attempt to provide definitive answers to every particular set of circumstances</w:t>
      </w:r>
      <w:r w:rsidR="000749F2">
        <w:t xml:space="preserve"> </w:t>
      </w:r>
      <w:r>
        <w:t>but rather to provide a framework against which members can exercise</w:t>
      </w:r>
      <w:r w:rsidR="000749F2">
        <w:t xml:space="preserve"> </w:t>
      </w:r>
      <w:r>
        <w:t xml:space="preserve">judgement when </w:t>
      </w:r>
      <w:r w:rsidR="000749F2">
        <w:t>faced with p</w:t>
      </w:r>
      <w:r>
        <w:t>otential conflicts.</w:t>
      </w:r>
    </w:p>
    <w:p w:rsidR="009160F3" w:rsidRDefault="009160F3" w:rsidP="009160F3"/>
    <w:p w:rsidR="009160F3" w:rsidRDefault="00826FCE" w:rsidP="009160F3">
      <w:r>
        <w:t>Councillors</w:t>
      </w:r>
      <w:r w:rsidR="009160F3">
        <w:t xml:space="preserve"> may be appointed to a wide range of ou</w:t>
      </w:r>
      <w:r w:rsidR="000749F2">
        <w:t>tside bodies. Most appointments a</w:t>
      </w:r>
      <w:r w:rsidR="009160F3">
        <w:t>re mad</w:t>
      </w:r>
      <w:r>
        <w:t>e by the City Executive Board. Councillors</w:t>
      </w:r>
      <w:r w:rsidR="009160F3">
        <w:t xml:space="preserve"> may also be appointed directly by the outside body itself to serve in a private capacity (for instance as a member of the community) rather than as an elected member of the Council, or they may be serving </w:t>
      </w:r>
      <w:r>
        <w:t xml:space="preserve">as </w:t>
      </w:r>
      <w:r w:rsidR="009160F3">
        <w:t xml:space="preserve">a member of that body before being elected as a </w:t>
      </w:r>
      <w:r>
        <w:t>Councillor</w:t>
      </w:r>
      <w:r w:rsidR="009160F3">
        <w:t>.</w:t>
      </w:r>
    </w:p>
    <w:p w:rsidR="009160F3" w:rsidRDefault="009160F3" w:rsidP="009160F3"/>
    <w:p w:rsidR="000749F2" w:rsidRDefault="009160F3" w:rsidP="009160F3">
      <w:r>
        <w:t xml:space="preserve">The roles of </w:t>
      </w:r>
      <w:r w:rsidR="00826FCE">
        <w:t>Councillors</w:t>
      </w:r>
      <w:r>
        <w:t xml:space="preserve"> on outside bodies will depend upon the legal nature of that organisation and the capacity in w</w:t>
      </w:r>
      <w:r w:rsidR="000749F2">
        <w:t xml:space="preserve">hich they are appointed to act. </w:t>
      </w:r>
      <w:r w:rsidR="00826FCE">
        <w:t>Councillors</w:t>
      </w:r>
      <w:r w:rsidR="000749F2">
        <w:t xml:space="preserve"> must act according to the framework set by the outside body and take an informed role in the management of the outside body’s affairs. This involves attending meetings on a regular basis and carrying out their duties to the best of their abilities. </w:t>
      </w:r>
      <w:r w:rsidR="009C75EC">
        <w:t>Whilst it</w:t>
      </w:r>
      <w:r w:rsidR="000749F2">
        <w:t xml:space="preserve"> is </w:t>
      </w:r>
      <w:r w:rsidR="009C75EC">
        <w:t>permissible</w:t>
      </w:r>
      <w:r w:rsidR="000749F2">
        <w:t xml:space="preserve"> </w:t>
      </w:r>
      <w:r w:rsidR="005F465A">
        <w:t xml:space="preserve">for a Councillor </w:t>
      </w:r>
      <w:r w:rsidR="000749F2">
        <w:t xml:space="preserve">to take account of the Council’s </w:t>
      </w:r>
      <w:r w:rsidR="009C75EC">
        <w:t>interests</w:t>
      </w:r>
      <w:r w:rsidR="00FE5EA7">
        <w:t xml:space="preserve">, </w:t>
      </w:r>
      <w:r w:rsidR="009C75EC">
        <w:t xml:space="preserve">Councillors should apply </w:t>
      </w:r>
      <w:r w:rsidR="00553314">
        <w:t>their own judgement</w:t>
      </w:r>
      <w:r w:rsidR="009C75EC">
        <w:t xml:space="preserve"> in any given situation</w:t>
      </w:r>
      <w:r w:rsidR="000749F2">
        <w:t>.</w:t>
      </w:r>
    </w:p>
    <w:p w:rsidR="00FE5EA7" w:rsidRDefault="00FE5EA7" w:rsidP="009160F3"/>
    <w:p w:rsidR="00FE5EA7" w:rsidRDefault="00FE5EA7" w:rsidP="009160F3">
      <w:r>
        <w:t>The fundamental principles of this guidance are as follows:-</w:t>
      </w:r>
    </w:p>
    <w:p w:rsidR="00FE5EA7" w:rsidRDefault="00FE5EA7" w:rsidP="009160F3"/>
    <w:p w:rsidR="00FE5EA7" w:rsidRDefault="00553314" w:rsidP="00FE5EA7">
      <w:pPr>
        <w:pStyle w:val="ListParagraph"/>
        <w:numPr>
          <w:ilvl w:val="0"/>
          <w:numId w:val="1"/>
        </w:numPr>
      </w:pPr>
      <w:r>
        <w:t>Councillors will act according to the rules, constitutions and frameworks set by the relevant outside body and, where possible,</w:t>
      </w:r>
      <w:r w:rsidR="005F465A">
        <w:t xml:space="preserve"> with those of the Council</w:t>
      </w:r>
    </w:p>
    <w:p w:rsidR="00623D72" w:rsidRDefault="00553314" w:rsidP="009C75EC">
      <w:pPr>
        <w:pStyle w:val="ListParagraph"/>
        <w:numPr>
          <w:ilvl w:val="0"/>
          <w:numId w:val="1"/>
        </w:numPr>
      </w:pPr>
      <w:r>
        <w:t xml:space="preserve">Councillors will make independent and personal judgements based on their </w:t>
      </w:r>
      <w:r w:rsidR="009C75EC">
        <w:t>responsibilities</w:t>
      </w:r>
      <w:r>
        <w:t xml:space="preserve"> to the outside body</w:t>
      </w:r>
    </w:p>
    <w:p w:rsidR="00553314" w:rsidRDefault="00553314" w:rsidP="00FE5EA7">
      <w:pPr>
        <w:pStyle w:val="ListParagraph"/>
        <w:numPr>
          <w:ilvl w:val="0"/>
          <w:numId w:val="1"/>
        </w:numPr>
      </w:pPr>
      <w:r>
        <w:t xml:space="preserve">Councillors will report back on their involvement with the outside body </w:t>
      </w:r>
      <w:r w:rsidR="009F2407">
        <w:t>–</w:t>
      </w:r>
      <w:r>
        <w:t xml:space="preserve"> </w:t>
      </w:r>
      <w:r w:rsidR="009F2407">
        <w:t xml:space="preserve">you </w:t>
      </w:r>
      <w:r>
        <w:t xml:space="preserve">will be asked to complete a feedback form each year about the organisation to which </w:t>
      </w:r>
      <w:r w:rsidR="009C75EC">
        <w:t>you</w:t>
      </w:r>
      <w:r>
        <w:t xml:space="preserve"> are appointed for consideration by the City Executive Board</w:t>
      </w:r>
    </w:p>
    <w:p w:rsidR="000749F2" w:rsidRDefault="000749F2" w:rsidP="009160F3"/>
    <w:p w:rsidR="009160F3" w:rsidRDefault="009160F3" w:rsidP="009160F3">
      <w:r>
        <w:t>The guidance addresses three specific circumstances which arise from time to time and as a result of which potential conflict can arise. These are:-</w:t>
      </w:r>
    </w:p>
    <w:p w:rsidR="009160F3" w:rsidRDefault="009160F3" w:rsidP="009160F3">
      <w:bookmarkStart w:id="0" w:name="_GoBack"/>
      <w:bookmarkEnd w:id="0"/>
    </w:p>
    <w:p w:rsidR="009160F3" w:rsidRDefault="009160F3" w:rsidP="009160F3">
      <w:pPr>
        <w:ind w:firstLine="284"/>
      </w:pPr>
      <w:r>
        <w:lastRenderedPageBreak/>
        <w:t>• Where the Councillor is appointed Director of a Company</w:t>
      </w:r>
    </w:p>
    <w:p w:rsidR="009160F3" w:rsidRDefault="009160F3" w:rsidP="009160F3">
      <w:pPr>
        <w:ind w:firstLine="284"/>
      </w:pPr>
      <w:r>
        <w:t>• Where the Councillor is appointed as a Trustee</w:t>
      </w:r>
    </w:p>
    <w:p w:rsidR="009160F3" w:rsidRDefault="009160F3" w:rsidP="009C75EC">
      <w:pPr>
        <w:ind w:firstLine="284"/>
      </w:pPr>
      <w:r>
        <w:t>• Where the</w:t>
      </w:r>
      <w:r w:rsidR="0039425A">
        <w:t xml:space="preserve"> Councillor is appointed to an U</w:t>
      </w:r>
      <w:r>
        <w:t>nincorporated Association</w:t>
      </w:r>
    </w:p>
    <w:p w:rsidR="000749F2" w:rsidRDefault="000749F2" w:rsidP="009160F3"/>
    <w:p w:rsidR="00FE5EA7" w:rsidRDefault="00FE5EA7" w:rsidP="009160F3"/>
    <w:p w:rsidR="009160F3" w:rsidRDefault="009C75EC" w:rsidP="009160F3">
      <w:r>
        <w:t>2</w:t>
      </w:r>
      <w:r w:rsidR="009160F3">
        <w:t xml:space="preserve">. </w:t>
      </w:r>
      <w:r w:rsidRPr="009C75EC">
        <w:rPr>
          <w:u w:val="single"/>
        </w:rPr>
        <w:t>Where the Councillor is appointed Director of a Company</w:t>
      </w:r>
    </w:p>
    <w:p w:rsidR="000749F2" w:rsidRDefault="000749F2" w:rsidP="009160F3"/>
    <w:p w:rsidR="0039425A" w:rsidRDefault="0039425A" w:rsidP="009160F3">
      <w:r>
        <w:t>Companies can be;</w:t>
      </w:r>
    </w:p>
    <w:p w:rsidR="0039425A" w:rsidRDefault="0039425A" w:rsidP="009160F3"/>
    <w:p w:rsidR="0039425A" w:rsidRDefault="0039425A" w:rsidP="0039425A">
      <w:pPr>
        <w:pStyle w:val="ListParagraph"/>
        <w:numPr>
          <w:ilvl w:val="0"/>
          <w:numId w:val="2"/>
        </w:numPr>
      </w:pPr>
      <w:r>
        <w:t>Limited by shares, usually operating a trade or business. They have shareholders and distribute profits to shareholders as dividends.</w:t>
      </w:r>
    </w:p>
    <w:p w:rsidR="0039425A" w:rsidRDefault="0039425A" w:rsidP="0039425A">
      <w:pPr>
        <w:pStyle w:val="ListParagraph"/>
        <w:numPr>
          <w:ilvl w:val="0"/>
          <w:numId w:val="2"/>
        </w:numPr>
      </w:pPr>
      <w:r>
        <w:t>Limited by guarantee, “not for profit” organisations. This type of company may also be a charity and has members rather than shareholders.</w:t>
      </w:r>
    </w:p>
    <w:p w:rsidR="008F6DAE" w:rsidRDefault="008F6DAE" w:rsidP="008F6DAE"/>
    <w:p w:rsidR="008F6DAE" w:rsidRDefault="008F6DAE" w:rsidP="008F6DAE">
      <w:r>
        <w:t>Companies offer limited liability which means that the members or shareholders are usually not personally liable for the company’s de</w:t>
      </w:r>
      <w:r w:rsidR="005F465A">
        <w:t>bt and liabilities, subject to s</w:t>
      </w:r>
      <w:r>
        <w:t>ome limited exemptions.</w:t>
      </w:r>
    </w:p>
    <w:p w:rsidR="008F6DAE" w:rsidRDefault="008F6DAE" w:rsidP="008F6DAE"/>
    <w:p w:rsidR="008F6DAE" w:rsidRDefault="008F6DAE" w:rsidP="008F6DAE">
      <w:r>
        <w:t>The powers of the directors are usually set out in the Articles of Association. These are the rules that govern the internal management of the company.</w:t>
      </w:r>
    </w:p>
    <w:p w:rsidR="005F29F2" w:rsidRDefault="005F29F2" w:rsidP="009160F3"/>
    <w:p w:rsidR="009160F3" w:rsidRDefault="009160F3" w:rsidP="009160F3">
      <w:r>
        <w:t>The Director cannot vote simply in accor</w:t>
      </w:r>
      <w:r w:rsidR="005F29F2">
        <w:t xml:space="preserve">dance with the Council mandate, </w:t>
      </w:r>
      <w:r>
        <w:t>to do so would be a breach of duty.</w:t>
      </w:r>
    </w:p>
    <w:p w:rsidR="005F29F2" w:rsidRDefault="005F29F2" w:rsidP="009160F3"/>
    <w:p w:rsidR="009160F3" w:rsidRDefault="005F29F2" w:rsidP="009160F3">
      <w:r>
        <w:t>W</w:t>
      </w:r>
      <w:r w:rsidR="009160F3">
        <w:t xml:space="preserve">hen acting as a Director </w:t>
      </w:r>
      <w:r>
        <w:t xml:space="preserve">a Councillor </w:t>
      </w:r>
      <w:r w:rsidR="009160F3">
        <w:t>owes a fiduciary duty to the</w:t>
      </w:r>
      <w:r>
        <w:t xml:space="preserve"> </w:t>
      </w:r>
      <w:r w:rsidR="009160F3">
        <w:t>company, not to the individual shareholders, to act honestly and in good</w:t>
      </w:r>
      <w:r>
        <w:t xml:space="preserve"> </w:t>
      </w:r>
      <w:r w:rsidR="009160F3">
        <w:t>faith and in the best interests of the company as a whole. Directors are,</w:t>
      </w:r>
      <w:r>
        <w:t xml:space="preserve"> </w:t>
      </w:r>
      <w:r w:rsidR="009160F3">
        <w:t>therefore, in the position of quasi trustees who must take proper care of</w:t>
      </w:r>
      <w:r>
        <w:t xml:space="preserve"> </w:t>
      </w:r>
      <w:r w:rsidR="009160F3">
        <w:t xml:space="preserve">the </w:t>
      </w:r>
      <w:r w:rsidR="009C75EC">
        <w:t>interests</w:t>
      </w:r>
      <w:r w:rsidR="009160F3">
        <w:t xml:space="preserve"> of the company.</w:t>
      </w:r>
    </w:p>
    <w:p w:rsidR="005F29F2" w:rsidRDefault="005F29F2" w:rsidP="009160F3"/>
    <w:p w:rsidR="009160F3" w:rsidRDefault="009160F3" w:rsidP="009160F3">
      <w:r>
        <w:t>A general duty of care and skill to the company is imposed, but a Director</w:t>
      </w:r>
      <w:r w:rsidR="005F29F2">
        <w:t xml:space="preserve"> </w:t>
      </w:r>
      <w:r>
        <w:t>requires no greater skill than might reasonably be expected of someone</w:t>
      </w:r>
      <w:r w:rsidR="005F29F2">
        <w:t xml:space="preserve"> of that individual’s p</w:t>
      </w:r>
      <w:r>
        <w:t>articular knowledge and experience. A Director is not</w:t>
      </w:r>
      <w:r w:rsidR="005F29F2">
        <w:t xml:space="preserve"> </w:t>
      </w:r>
      <w:r>
        <w:t>deemed to be an expert, but is expected to use due diligence and to</w:t>
      </w:r>
      <w:r w:rsidR="005F29F2">
        <w:t xml:space="preserve"> </w:t>
      </w:r>
      <w:r>
        <w:t>obtain expert advice if necessary.</w:t>
      </w:r>
    </w:p>
    <w:p w:rsidR="005F29F2" w:rsidRDefault="005F29F2" w:rsidP="009160F3"/>
    <w:p w:rsidR="009160F3" w:rsidRDefault="009160F3" w:rsidP="009160F3">
      <w:r>
        <w:t>There may be actual or potential conflicts between the interests of the</w:t>
      </w:r>
      <w:r w:rsidR="005F29F2">
        <w:t xml:space="preserve"> </w:t>
      </w:r>
      <w:r>
        <w:t xml:space="preserve">Council and </w:t>
      </w:r>
      <w:r w:rsidR="005F29F2">
        <w:t>t</w:t>
      </w:r>
      <w:r>
        <w:t>he interests of the company. In such circumstances it would</w:t>
      </w:r>
      <w:r w:rsidR="005F29F2">
        <w:t xml:space="preserve"> </w:t>
      </w:r>
      <w:r>
        <w:t>be inappropriate for the Councillor to take part in discussions upon such</w:t>
      </w:r>
      <w:r w:rsidR="005F29F2">
        <w:t xml:space="preserve"> </w:t>
      </w:r>
      <w:r>
        <w:t>topics both as a Councillor and as a Director. If the conflict is a serious</w:t>
      </w:r>
      <w:r w:rsidR="005F29F2">
        <w:t xml:space="preserve"> </w:t>
      </w:r>
      <w:r>
        <w:t>one or repeatedly presents itself then it may be appropriate for the</w:t>
      </w:r>
      <w:r w:rsidR="005F29F2">
        <w:t xml:space="preserve"> </w:t>
      </w:r>
      <w:r>
        <w:t>Councillor to resign as a Director of the company.</w:t>
      </w:r>
    </w:p>
    <w:p w:rsidR="005F29F2" w:rsidRDefault="005F29F2" w:rsidP="009160F3"/>
    <w:p w:rsidR="009160F3" w:rsidRDefault="009160F3" w:rsidP="009160F3">
      <w:r>
        <w:t>Directors are not allowed to make a private profit from their position.</w:t>
      </w:r>
      <w:r w:rsidR="005F29F2">
        <w:t xml:space="preserve"> </w:t>
      </w:r>
      <w:r>
        <w:t>They must therefore disclose any interests they or their family have in</w:t>
      </w:r>
      <w:r w:rsidR="005F29F2">
        <w:t xml:space="preserve"> </w:t>
      </w:r>
      <w:r>
        <w:t>relation to the company’s contracts. Whether they are then allowed to</w:t>
      </w:r>
      <w:r w:rsidR="005F29F2">
        <w:t xml:space="preserve"> </w:t>
      </w:r>
      <w:r>
        <w:t>vote will depend upon the Articles of Association of the company.</w:t>
      </w:r>
      <w:r w:rsidR="005F29F2">
        <w:t xml:space="preserve"> </w:t>
      </w:r>
    </w:p>
    <w:p w:rsidR="005F29F2" w:rsidRDefault="005F29F2" w:rsidP="009160F3"/>
    <w:p w:rsidR="009160F3" w:rsidRDefault="009160F3" w:rsidP="009160F3">
      <w:r>
        <w:t xml:space="preserve">Directors must ensure compliance with relevant </w:t>
      </w:r>
      <w:proofErr w:type="gramStart"/>
      <w:r>
        <w:t>companies</w:t>
      </w:r>
      <w:proofErr w:type="gramEnd"/>
      <w:r>
        <w:t xml:space="preserve"> legislation in</w:t>
      </w:r>
      <w:r w:rsidR="005F29F2">
        <w:t xml:space="preserve"> </w:t>
      </w:r>
      <w:r>
        <w:t>relation to the keeping of accounts and the making of relevant returns to</w:t>
      </w:r>
      <w:r w:rsidR="005F29F2">
        <w:t xml:space="preserve"> </w:t>
      </w:r>
      <w:r>
        <w:t>the Registrar of Companies. Failure to do so incurs fines and persistent</w:t>
      </w:r>
      <w:r w:rsidR="005F29F2">
        <w:t xml:space="preserve"> </w:t>
      </w:r>
      <w:r>
        <w:t xml:space="preserve">default and lead to </w:t>
      </w:r>
      <w:r w:rsidR="00BB38D8">
        <w:t>d</w:t>
      </w:r>
      <w:r>
        <w:t>isqualification as a Director.</w:t>
      </w:r>
    </w:p>
    <w:p w:rsidR="005F29F2" w:rsidRDefault="005F29F2" w:rsidP="009160F3"/>
    <w:p w:rsidR="009160F3" w:rsidRDefault="009160F3" w:rsidP="009160F3">
      <w:r>
        <w:lastRenderedPageBreak/>
        <w:t>Directors should also ensure that the company complies with other</w:t>
      </w:r>
      <w:r w:rsidR="005F29F2">
        <w:t xml:space="preserve"> </w:t>
      </w:r>
      <w:r>
        <w:t>legislation such as Health and Safety legislation if the company employs</w:t>
      </w:r>
      <w:r w:rsidR="005F29F2">
        <w:t xml:space="preserve"> staff or employs contractors </w:t>
      </w:r>
      <w:r>
        <w:t>to undertake work.</w:t>
      </w:r>
    </w:p>
    <w:p w:rsidR="000749F2" w:rsidRDefault="000749F2" w:rsidP="009160F3"/>
    <w:p w:rsidR="009F2407" w:rsidRDefault="009F2407" w:rsidP="009160F3"/>
    <w:p w:rsidR="009160F3" w:rsidRDefault="009C75EC" w:rsidP="009160F3">
      <w:r>
        <w:t>3</w:t>
      </w:r>
      <w:r w:rsidR="009160F3">
        <w:t xml:space="preserve">. </w:t>
      </w:r>
      <w:r w:rsidRPr="009C75EC">
        <w:rPr>
          <w:u w:val="single"/>
        </w:rPr>
        <w:t>Where the Councillor is appointed as a Trustee</w:t>
      </w:r>
    </w:p>
    <w:p w:rsidR="000749F2" w:rsidRDefault="000749F2" w:rsidP="009160F3"/>
    <w:p w:rsidR="005F29F2" w:rsidRDefault="009160F3" w:rsidP="009160F3">
      <w:r>
        <w:t>A number of useful publications are available on the Charity Commissioners</w:t>
      </w:r>
      <w:r w:rsidR="005F29F2">
        <w:t xml:space="preserve"> </w:t>
      </w:r>
      <w:r>
        <w:t>web</w:t>
      </w:r>
      <w:r w:rsidR="005F29F2">
        <w:t>site</w:t>
      </w:r>
      <w:r>
        <w:t xml:space="preserve">: </w:t>
      </w:r>
      <w:hyperlink r:id="rId8" w:history="1">
        <w:r w:rsidRPr="005F29F2">
          <w:rPr>
            <w:rStyle w:val="Hyperlink"/>
          </w:rPr>
          <w:t>www.charitycommission.gov.uk</w:t>
        </w:r>
      </w:hyperlink>
      <w:r w:rsidR="005F29F2">
        <w:t>.</w:t>
      </w:r>
    </w:p>
    <w:p w:rsidR="005F29F2" w:rsidRDefault="005F29F2" w:rsidP="009160F3"/>
    <w:p w:rsidR="009160F3" w:rsidRDefault="009160F3" w:rsidP="009160F3">
      <w:r>
        <w:t>Those who are responsible for the</w:t>
      </w:r>
      <w:r w:rsidR="005F29F2">
        <w:t xml:space="preserve"> </w:t>
      </w:r>
      <w:r>
        <w:t xml:space="preserve">control and administration of a charity are referred to as </w:t>
      </w:r>
      <w:proofErr w:type="gramStart"/>
      <w:r>
        <w:t>trustees,</w:t>
      </w:r>
      <w:proofErr w:type="gramEnd"/>
      <w:r>
        <w:t xml:space="preserve"> even</w:t>
      </w:r>
      <w:r w:rsidR="005F29F2">
        <w:t xml:space="preserve"> </w:t>
      </w:r>
      <w:r>
        <w:t>where the organisation is a company limited by guarantee where they are not</w:t>
      </w:r>
      <w:r w:rsidR="005F29F2">
        <w:t xml:space="preserve"> </w:t>
      </w:r>
      <w:r>
        <w:t>strictly trustees.</w:t>
      </w:r>
    </w:p>
    <w:p w:rsidR="005F29F2" w:rsidRDefault="005F29F2" w:rsidP="009160F3"/>
    <w:p w:rsidR="009160F3" w:rsidRDefault="009160F3" w:rsidP="009160F3">
      <w:r>
        <w:t>Trustees must take care to act in accordance with the Trust deed and to</w:t>
      </w:r>
      <w:r w:rsidR="005F29F2">
        <w:t xml:space="preserve"> </w:t>
      </w:r>
      <w:r>
        <w:t>protect the charity’s assets. They are also responsible for compliance</w:t>
      </w:r>
      <w:r w:rsidR="005F29F2">
        <w:t xml:space="preserve"> </w:t>
      </w:r>
      <w:r>
        <w:t xml:space="preserve">with the Charities Acts </w:t>
      </w:r>
      <w:r w:rsidR="005F29F2">
        <w:t>a</w:t>
      </w:r>
      <w:r>
        <w:t>nd the Trustee Act 2000.</w:t>
      </w:r>
    </w:p>
    <w:p w:rsidR="005F29F2" w:rsidRDefault="005F29F2" w:rsidP="009160F3"/>
    <w:p w:rsidR="009160F3" w:rsidRDefault="009160F3" w:rsidP="009160F3">
      <w:r>
        <w:t>Trustees must not make a private profit from their position. They must</w:t>
      </w:r>
      <w:r w:rsidR="005F29F2">
        <w:t xml:space="preserve"> </w:t>
      </w:r>
      <w:r>
        <w:t>also perform their duty with the standard of care which an ordinary,</w:t>
      </w:r>
      <w:r w:rsidR="005F29F2">
        <w:t xml:space="preserve"> </w:t>
      </w:r>
      <w:r>
        <w:t>prudent business person would show. Higher standards are required of</w:t>
      </w:r>
      <w:r w:rsidR="005F29F2">
        <w:t xml:space="preserve"> </w:t>
      </w:r>
      <w:r>
        <w:t>professionals and in relation to investment matters.</w:t>
      </w:r>
    </w:p>
    <w:p w:rsidR="005F29F2" w:rsidRDefault="005F29F2" w:rsidP="009160F3"/>
    <w:p w:rsidR="009160F3" w:rsidRDefault="009160F3" w:rsidP="009160F3">
      <w:r>
        <w:t>Charitable Trustees must ensure that the information relating to the</w:t>
      </w:r>
      <w:r w:rsidR="005F29F2">
        <w:t xml:space="preserve"> </w:t>
      </w:r>
      <w:r>
        <w:t xml:space="preserve">Trust and </w:t>
      </w:r>
      <w:r w:rsidR="005F29F2">
        <w:t>T</w:t>
      </w:r>
      <w:r>
        <w:t xml:space="preserve">rustees is registered with the Charity Commissioners and </w:t>
      </w:r>
      <w:proofErr w:type="gramStart"/>
      <w:r>
        <w:t>that</w:t>
      </w:r>
      <w:r w:rsidR="005F29F2">
        <w:t xml:space="preserve"> </w:t>
      </w:r>
      <w:r>
        <w:t>annual accounts</w:t>
      </w:r>
      <w:proofErr w:type="gramEnd"/>
      <w:r>
        <w:t xml:space="preserve"> and returns are completed and sent.</w:t>
      </w:r>
    </w:p>
    <w:p w:rsidR="005F29F2" w:rsidRDefault="005F29F2" w:rsidP="009160F3"/>
    <w:p w:rsidR="009160F3" w:rsidRDefault="009160F3" w:rsidP="009160F3">
      <w:r>
        <w:t>If charitable income exceeds £5,000 the letters, advertisements, cheques</w:t>
      </w:r>
      <w:r w:rsidR="005F29F2">
        <w:t xml:space="preserve"> </w:t>
      </w:r>
      <w:r>
        <w:t>etc., must bear a statement that the organisation is a registered charity.</w:t>
      </w:r>
    </w:p>
    <w:p w:rsidR="005F29F2" w:rsidRDefault="005F29F2" w:rsidP="009160F3"/>
    <w:p w:rsidR="009160F3" w:rsidRDefault="009160F3" w:rsidP="009160F3">
      <w:r>
        <w:t>Trustees are under a duty to ensure compliance with all relevant</w:t>
      </w:r>
      <w:r w:rsidR="005F29F2">
        <w:t xml:space="preserve"> </w:t>
      </w:r>
      <w:r>
        <w:t>legislation for example in relation to tax and health and safety.</w:t>
      </w:r>
    </w:p>
    <w:p w:rsidR="000749F2" w:rsidRDefault="000749F2" w:rsidP="009160F3"/>
    <w:p w:rsidR="00623D72" w:rsidRDefault="00623D72" w:rsidP="009160F3"/>
    <w:p w:rsidR="009160F3" w:rsidRDefault="009C75EC" w:rsidP="009160F3">
      <w:r>
        <w:t>4</w:t>
      </w:r>
      <w:r w:rsidR="009160F3">
        <w:t xml:space="preserve">. </w:t>
      </w:r>
      <w:r w:rsidRPr="009C75EC">
        <w:rPr>
          <w:u w:val="single"/>
        </w:rPr>
        <w:t>Where the Councillor is appointed to an Unincorporated Association</w:t>
      </w:r>
    </w:p>
    <w:p w:rsidR="000749F2" w:rsidRDefault="000749F2" w:rsidP="009160F3"/>
    <w:p w:rsidR="005F29F2" w:rsidRDefault="009160F3" w:rsidP="009160F3">
      <w:r>
        <w:t>Groups which are neither limited companies nor charitable trusts may be</w:t>
      </w:r>
      <w:r w:rsidR="000749F2">
        <w:t xml:space="preserve"> </w:t>
      </w:r>
      <w:r>
        <w:t xml:space="preserve">“unincorporated associations” which have no separate </w:t>
      </w:r>
      <w:r w:rsidR="000F4EA4">
        <w:t xml:space="preserve">legal </w:t>
      </w:r>
      <w:r>
        <w:t>identity from their</w:t>
      </w:r>
      <w:r w:rsidR="000749F2">
        <w:t xml:space="preserve"> </w:t>
      </w:r>
      <w:r>
        <w:t xml:space="preserve">members. </w:t>
      </w:r>
    </w:p>
    <w:p w:rsidR="005F29F2" w:rsidRDefault="005F29F2" w:rsidP="009160F3"/>
    <w:p w:rsidR="009160F3" w:rsidRDefault="009160F3" w:rsidP="009160F3">
      <w:r>
        <w:t>The rules governing the members</w:t>
      </w:r>
      <w:r w:rsidR="009F2407">
        <w:t>’</w:t>
      </w:r>
      <w:r>
        <w:t xml:space="preserve"> duties and liabilities will (or</w:t>
      </w:r>
      <w:r w:rsidR="000749F2">
        <w:t xml:space="preserve"> </w:t>
      </w:r>
      <w:r>
        <w:t>should) be set out in the organisation’s constitution, which is simply an</w:t>
      </w:r>
      <w:r w:rsidR="000749F2">
        <w:t xml:space="preserve"> </w:t>
      </w:r>
      <w:r>
        <w:t>agreement between members as to how the organisation will operate.</w:t>
      </w:r>
      <w:r w:rsidR="000749F2">
        <w:t xml:space="preserve"> </w:t>
      </w:r>
      <w:r>
        <w:t>Usually the organisation’s constitution will provide for a management</w:t>
      </w:r>
      <w:r w:rsidR="000749F2">
        <w:t xml:space="preserve"> </w:t>
      </w:r>
      <w:r>
        <w:t>committee to be responsible for the everyday running of the organisation.</w:t>
      </w:r>
      <w:r w:rsidR="000749F2">
        <w:t xml:space="preserve"> </w:t>
      </w:r>
      <w:r>
        <w:t>Management Committee members must act within the organisation’s</w:t>
      </w:r>
      <w:r w:rsidR="000749F2">
        <w:t xml:space="preserve"> </w:t>
      </w:r>
      <w:r>
        <w:t>constitution and must take reasonable care when exercising their powers.</w:t>
      </w:r>
    </w:p>
    <w:p w:rsidR="009C75EC" w:rsidRDefault="009C75EC" w:rsidP="009160F3"/>
    <w:p w:rsidR="00486E27" w:rsidRDefault="00486E27" w:rsidP="009C75EC"/>
    <w:p w:rsidR="00486E27" w:rsidRDefault="00486E27" w:rsidP="009C75EC"/>
    <w:p w:rsidR="009C75EC" w:rsidRPr="009160F3" w:rsidRDefault="009C75EC" w:rsidP="009C75EC">
      <w:r w:rsidRPr="009C75EC">
        <w:lastRenderedPageBreak/>
        <w:t>5.</w:t>
      </w:r>
      <w:r>
        <w:t xml:space="preserve"> </w:t>
      </w:r>
      <w:r w:rsidRPr="009160F3">
        <w:rPr>
          <w:u w:val="single"/>
        </w:rPr>
        <w:t>The Code of Conduct for Councillors</w:t>
      </w:r>
    </w:p>
    <w:p w:rsidR="009C75EC" w:rsidRDefault="009C75EC" w:rsidP="009C75EC"/>
    <w:p w:rsidR="009C75EC" w:rsidRDefault="009C75EC" w:rsidP="009C75EC">
      <w:r>
        <w:t>These guidelines should be read in conjunction with the Members’ Code of Conduct which has been adopted by</w:t>
      </w:r>
      <w:r w:rsidRPr="009160F3">
        <w:t xml:space="preserve"> Council</w:t>
      </w:r>
      <w:r>
        <w:rPr>
          <w:sz w:val="23"/>
          <w:szCs w:val="23"/>
        </w:rPr>
        <w:t>.</w:t>
      </w:r>
      <w:r>
        <w:t xml:space="preserve"> </w:t>
      </w:r>
      <w:r w:rsidRPr="009160F3">
        <w:t xml:space="preserve">When Councillors are representing the Council on another body, they must follow the code unless it conflicts with a legal duty </w:t>
      </w:r>
      <w:r>
        <w:t>owed to</w:t>
      </w:r>
      <w:r w:rsidRPr="009160F3">
        <w:t xml:space="preserve"> the other body.</w:t>
      </w:r>
      <w:r>
        <w:rPr>
          <w:sz w:val="23"/>
          <w:szCs w:val="23"/>
        </w:rPr>
        <w:t xml:space="preserve"> </w:t>
      </w:r>
      <w:r>
        <w:t xml:space="preserve"> </w:t>
      </w:r>
    </w:p>
    <w:p w:rsidR="009C75EC" w:rsidRDefault="009C75EC" w:rsidP="009C75EC"/>
    <w:p w:rsidR="009C75EC" w:rsidRDefault="009C75EC" w:rsidP="009C75EC">
      <w:r>
        <w:t>Some outside bodies may require the Councillor to treat their business as confidential. This may sometimes create a dilemma for the Councillor and may seem contrary to the idea of assisting public accountability. However, a Councillor will be bound by any confidentiality undertaking given.</w:t>
      </w:r>
    </w:p>
    <w:p w:rsidR="009C75EC" w:rsidRDefault="009C75EC" w:rsidP="00BB38D8"/>
    <w:p w:rsidR="009C75EC" w:rsidRDefault="009C75EC" w:rsidP="00BB38D8"/>
    <w:p w:rsidR="00BB38D8" w:rsidRDefault="00486E27" w:rsidP="00BB38D8">
      <w:r>
        <w:t>6</w:t>
      </w:r>
      <w:r w:rsidR="00BB38D8">
        <w:t xml:space="preserve">. </w:t>
      </w:r>
      <w:r w:rsidR="00BB38D8" w:rsidRPr="00623D72">
        <w:rPr>
          <w:u w:val="single"/>
        </w:rPr>
        <w:t>General</w:t>
      </w:r>
    </w:p>
    <w:p w:rsidR="00BB38D8" w:rsidRDefault="00BB38D8" w:rsidP="00BB38D8"/>
    <w:p w:rsidR="00BB38D8" w:rsidRDefault="00BB38D8" w:rsidP="00BB38D8">
      <w:r>
        <w:t>As mentioned earlier these guidelines are intended solely for the purpose of providing a general basis upon which members appointed to outside bodies can exercise their judgement when balancing their respective responsibilities as a Councillor and a nominated representative. The guidelines cannot provide a detailed answer for all circumstances and consequently, if in doubt, a Councillor should seek further advice and guidance from the Council’s Monitoring Officer.</w:t>
      </w:r>
    </w:p>
    <w:p w:rsidR="009C75EC" w:rsidRDefault="009C75EC" w:rsidP="00BB38D8"/>
    <w:p w:rsidR="00486E27" w:rsidRDefault="00486E27" w:rsidP="00BB38D8"/>
    <w:p w:rsidR="00486E27" w:rsidRDefault="00486E27" w:rsidP="00BB38D8"/>
    <w:p w:rsidR="009C75EC" w:rsidRDefault="009C75EC" w:rsidP="00BB38D8">
      <w:r>
        <w:t>Head of Law &amp; Governance</w:t>
      </w:r>
    </w:p>
    <w:p w:rsidR="009C75EC" w:rsidRDefault="009C75EC" w:rsidP="00BB38D8"/>
    <w:p w:rsidR="009C75EC" w:rsidRDefault="009C75EC" w:rsidP="00BB38D8">
      <w:r>
        <w:t>May 2016</w:t>
      </w:r>
    </w:p>
    <w:p w:rsidR="00BB38D8" w:rsidRPr="008A22C6" w:rsidRDefault="00BB38D8" w:rsidP="00BB38D8"/>
    <w:sectPr w:rsidR="00BB38D8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88C"/>
    <w:multiLevelType w:val="hybridMultilevel"/>
    <w:tmpl w:val="E43E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561"/>
    <w:multiLevelType w:val="hybridMultilevel"/>
    <w:tmpl w:val="EEF4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F3"/>
    <w:rsid w:val="0003455E"/>
    <w:rsid w:val="000749F2"/>
    <w:rsid w:val="000B4310"/>
    <w:rsid w:val="000F4EA4"/>
    <w:rsid w:val="0039425A"/>
    <w:rsid w:val="004000D7"/>
    <w:rsid w:val="00486E27"/>
    <w:rsid w:val="00504E43"/>
    <w:rsid w:val="00553314"/>
    <w:rsid w:val="005F29F2"/>
    <w:rsid w:val="005F465A"/>
    <w:rsid w:val="00623D72"/>
    <w:rsid w:val="007908F4"/>
    <w:rsid w:val="00826FCE"/>
    <w:rsid w:val="008A22C6"/>
    <w:rsid w:val="008F6DAE"/>
    <w:rsid w:val="009160F3"/>
    <w:rsid w:val="009179D1"/>
    <w:rsid w:val="00953145"/>
    <w:rsid w:val="009C4B9E"/>
    <w:rsid w:val="009C75EC"/>
    <w:rsid w:val="009F2407"/>
    <w:rsid w:val="009F2541"/>
    <w:rsid w:val="00AE08EB"/>
    <w:rsid w:val="00BB38D8"/>
    <w:rsid w:val="00C07F80"/>
    <w:rsid w:val="00D879AB"/>
    <w:rsid w:val="00FD3A85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haritycommission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4CF-3054-4F86-8297-54B20731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1F7781D4</Template>
  <TotalTime>1</TotalTime>
  <Pages>4</Pages>
  <Words>1216</Words>
  <Characters>6936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catherine.phythian</cp:lastModifiedBy>
  <cp:revision>2</cp:revision>
  <cp:lastPrinted>2016-05-09T11:04:00Z</cp:lastPrinted>
  <dcterms:created xsi:type="dcterms:W3CDTF">2016-05-09T14:19:00Z</dcterms:created>
  <dcterms:modified xsi:type="dcterms:W3CDTF">2016-05-09T14:19:00Z</dcterms:modified>
</cp:coreProperties>
</file>